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南银理财鼎瑞悦稳（最低持有14天）公募人民币理财产品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3,893,642,462.54</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兴业国际信托有限公司,华商基金管理有限公司,华泰资产管理有限公司,华鑫证券有限责任公司,国投泰康信托有限公司,广发基金管理有限公司,紫金信托有限责任公司,陆家嘴国际信托有限公司,新华资产管理股份有限公司,太平洋资产管理有限责任公司,江苏省国际信托有限责任公司,申万宏源证券资产管理有限公司,长城财富保险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1,807,204,778.41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1.067313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1.067313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31,163,506.58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1.073906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1.073906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2,315,279,560.39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1.066528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1.066528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572,919.97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1.061582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1.061582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A32014份额净值为1.067313元，A32015份额净值为1.073906元，A32016份额净值为1.066528元，A32028份额净值为1.061582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95.58%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91.95%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4.42%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8.05%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510,556,126.18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324,225,710.17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ZJQTT202510310001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华商基金聚睿优选集合资产管理计划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308,021,329.40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254,451,946.57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020627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广发安泽短债债券D</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200,290,724.58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XJCKX202505140001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165,629,279.26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162,166,683.02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032480303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24崇德投资PPN001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151,374,750.00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ZJQTT202602240002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申万宏源申辉添福2号集合资产管理计划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141,705,000.00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312410003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24建行TLAC非资本债01A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120,635,160.00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0101080000000712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307582213.05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1158109.36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618242.29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14223.31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255546.56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