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南银理财鼎瑞悦稳（最低持有371天）1号公募人民币理财产品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南银理财鼎瑞悦稳（最低持有371天）1号公募人民币理财产品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Z7003224000200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2024年09月27日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6,408,367,979.28</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华鑫证券有限责任公司,国投泰康信托有限公司,天弘基金管理有限公司,富国基金管理有限公司,紫金信托有限责任公司,鑫元基金管理有限公司,易方达基金管理有限公司,中国对外经济贸易信托有限公司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2,497,813,464.82</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1.055122</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1.055122</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4,254,202,546.21</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1.052747</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1.052747</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  操作方面，坚持稳健运作的投资理念，对于利差保护较足的信用资产积极配置，同时关注交易活跃品种的波段机会，结合收益率水平做好久期与杠杆管理，获取稳健的投资回报。</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A32041份额净值为1.055122元，A32043份额净值为1.052747</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95.41%</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93.52%</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4.59%</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6.48%</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622,047,222.50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312,138,655.63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253752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24长投01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181,846,080.00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176,918,940.78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XJCKX202502270001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网商银行活期存款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132,162,637.55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254813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24宁高04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102,762,600.00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254951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24经投02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102,646,900.00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254928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24高邮01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102,555,500.00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24黄海金融MTN002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102,240,900.00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0101030000001200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南京银行南京分行南银理财鼎瑞悦稳最低持有371天1号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24扬州经开MTN003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102484090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15445561.64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23中兴国资MTN004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102381786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10380301.37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23丹投MTN004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102381775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10395287.67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24宿迁高新PPN001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032400808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29939329.86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23汉盛建设PPN001(项目收益)</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59977724.79</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289649406.74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310000000.00</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1331157.62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11906.83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302025.79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