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南银理财鼎瑞悦稳红利（最低持有371天）公募人民币理财产品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南银理财鼎瑞悦稳红利（最低持有371天）公募人民币理财产品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Z7003224000015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2024年01月10日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3,333,844,417.70</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兴业国际信托有限公司,国投泰康信托有限公司,鑫元基金管理有限公司,江苏省国际信托有限责任公司,中国对外经济贸易信托有限公司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2,831,963,078.55</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1.022764</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1.077764</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577,449,036.07</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1.022188</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1.073016</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2026年04月01日 - 2026年06月30日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本产品为长期限持有期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A33001份额净值为1.022764元，A33003份额净值为1.022188</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96.71%</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88.69%</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3.29%</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11.31%</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ZJQTT202511130001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兴业信托-兴南恒盈2号集合资金信托计划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1,155,671,360.05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704,808,376.45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301,663,971.96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210,948,100.70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121,853,200.13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255195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24宿城02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102,394,600.00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282251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26维投01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100,235,600.00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87,673,998.46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102383275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23未来科技MTN001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60,556,560.00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24医药城PPN001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50,580,050.00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0101050000000860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南京银行南京分行南银理财鼎瑞悦稳红利最低持有371天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26苏州高新MTN005</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102681575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29982402.74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26润城资产PPN001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032680256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50024863.01</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522755.59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28308.42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121529.18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