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南银理财珠联璧合鑫悦享月月盈公募人民币理财产品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南银理财珠联璧合鑫悦享月月盈公募人民币理财产品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Z7003220000010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2019年09月26日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1,373,371,164.70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华鑫证券有限责任公司,鑫元基金管理有限公司,鑫沅资产管理有限公司,江苏省国际信托有限责任公司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1,475,320,271.92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1.1381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1.2302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10,809,595.02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1.1490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1.1761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76,184,267.84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1.1386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1.1386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855,943.50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1.1330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1.1330</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国内债券市场大概率延续低位震荡运行格局，收益率难现单边趋势性行情，核心源于多空因素深度交织、基本面与政策面持续博弈，利率上下空间均受到约束。策略上以中性久期策略为核心，将票息收益作为组合收益的主要来源，在震荡调整中把握逢高配置窗口，灵活把握长端利率波段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Z40002份额净值为1.1381元，Z40007份额净值为1.1490元，Z41002份额净值为1.1386元，Z42002份额净值为1.1330</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98.95%</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1.05%</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802,435,060.17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491,437,387.68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31.44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76,899,153.53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42,854,793.31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ZJQTT202605150001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32,144,937.89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ZJQTT202111100001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鑫沅资产金梅花631号集合资产管理计划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31,978,685.85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114191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22扬旅01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30,255,810.00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XJCKX202504280001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20,042,788.60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11,493,333.56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182482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22余工02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10,209,960.00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0120040000000331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南京银行鑫悦享月月盈</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586234.04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47060.11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84753.24</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