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南银理财珠联璧合财富牛（最低持有91天）公募人民币理财产品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南银理财珠联璧合财富牛（最低持有91天）公募人民币理财产品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3,335,625,693.79</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欧基金管理有限公司,中诚信托有限责任公司,兴业基金管理有限公司,华夏基金管理有限公司,华安基金管理有限公司,华泰资产管理有限公司,华鑫证券有限责任公司,博时基金管理有限公司,国投泰康信托有限公司,国泰基金管理有限公司,广发基金管理有限公司,招商基金管理有限公司,紫金信托有限责任公司,鑫沅资产管理有限公司,易方达基金管理有限公司,陆家嘴国际信托有限公司,中国人寿资产管理有限公司,南方基金管理股份有限公司,景顺长城基金管理有限公司,汇添富基金管理股份有限公司,上海东方证券资产管理有限公司,中国对外经济贸易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NYCF000025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199,916.04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2,853,212,032.57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784,269,707.28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1.0920</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债券方面，2026年二季度，债券市场整体呈现“震荡偏强、低波震荡”的运行特征。在资金面宽松、机构配置需求旺盛的支撑下，债市整体表现较好，但受宏观数据扰动、供给压力及机构止盈情绪影响，市场多空拉锯，收益率呈现“先下后平”的震荡格局。利率债整体呈“先下后平”的震荡格局。4月初，在资金面宽松及避险情绪带动下，长端利率（如10年期国债）快速下探至阶段低位；中下旬及5-6月，受止盈盘抛压、供给增加及宏观数据扰动影响，利率在低位窄幅震荡，整体下行空间有限。收益率曲线整体呈现“平坦化下移”，短端利率下行空间受限，长端利率在多空博弈中维持区间震荡（如10年期国债核心区间在1.65%-1.75%）。信用债整体呈现“震荡偏强”格局，收益率整体下行，中短端（如3-5年期）表现相对更优，信用利差整体压缩至历史低位。</w:t>
        <w:br w:type="textWrapping" w:clear="all"/>
      </w:r>
      <w:r>
        <w:rPr>
          <w:rFonts w:ascii="方正仿宋简体" w:eastAsia="方正仿宋简体" w:hint="eastAsia"/>
          <w:sz w:val="24"/>
          <w:szCs w:val="24"/>
        </w:rPr>
        <w:t>  权益方面，2026年二季度，权益市场整体呈现“震荡上行、结构分化加剧”的行情特征，市场驱动力从“拔估值”逐步转向“盈利验证”，AI科技主线表现极致，传统板块持续承压。市场交投情绪活跃，但资金向少数主线板块高度集中，导致市场短期波动加大，量化策略的超额收益获取难度明显上升，风格快速轮动对择时策略造成一定损耗。市场极致分化是宏观实体经济“新旧经济”分化的直接映射，新经济景气度确定性强，传统经济受制于终端需求疲弱，市场偏好短期内难以发生根本性逆转。</w:t>
        <w:br w:type="textWrapping" w:clear="all"/>
      </w:r>
      <w:r>
        <w:rPr>
          <w:rFonts w:ascii="方正仿宋简体" w:eastAsia="方正仿宋简体" w:hint="eastAsia"/>
          <w:sz w:val="24"/>
          <w:szCs w:val="24"/>
        </w:rPr>
        <w:t>  本产品为长持有期固收+产品，在运作期内操作上主配置2年信用债，积极采用杠杆获取收益增厚，同时配置二级债基、权益ETF等含权资产。后续我们将继续研判市场，将风险预算在不同大类资产里进行合理分配，在波动可控的范围内为客户提供收益弹性。</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NYCF000025份额净值为1.0901元，Z70013份额净值为1.0901元，Z70014份额净值为1.0920</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96.70%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85.84%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2.55%</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14.16%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0.75%</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1,719,776,129.02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383,398,709.44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333,802,823.30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200,627,797.75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112518279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25华夏银行CD279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98,821,200.00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112512161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25北京银行CD161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98,409,000.00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64,927,652.26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ZJQTT202512230001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国寿资产-源流1号保险资产管理产品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50,635,843.85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217008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招商安本增利债券</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44,380,697.25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40,712,375.22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0120040000001175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南银理财财富牛最低持有91天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136216256.65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1608327.76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209759.94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