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南银理财增瑞财富牛（最低持有120天）1号公募人民币理财产品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南银理财增瑞财富牛（最低持有120天）1号公募人民币理财产品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Z7003224000203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2024年09月27日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4,155,684,265.07</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兴业基金管理有限公司,华商基金管理有限公司,华夏基金管理有限公司,华安基金管理有限公司,华泰资产管理有限公司,华鑫证券有限责任公司,博时基金管理有限公司,富国基金管理有限公司,广发基金管理有限公司,招商基金管理有限公司,鑫沅资产管理有限公司,鹏华基金管理有限公司,易方达基金管理有限公司,中国人寿资产管理有限公司,景顺长城基金管理有限公司,长江养老保险股份有限公司,中国对外经济贸易信托有限公司,百年保险资产管理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Z70015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4,017,485,287.07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1.052127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1.052127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354,527,134.49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1.051249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1.051249</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上半年，基本面先扬后抑，债券市场震荡偏强，权益市场指数温和、结构极致。一季度实际GDP同比5.0%，但二季度增速大概率回落至4.5%左右；结构上，出口维持高韧性，1-5月累计同比增长15.5%，消费疲软，1-5月社零增速仅为1.4%，呈现出外需偏强、内需偏弱，新动能偏强、旧动能偏弱的K型修复格局。</w:t>
        <w:br w:type="textWrapping" w:clear="all"/>
      </w:r>
      <w:r>
        <w:rPr>
          <w:rFonts w:ascii="方正仿宋简体" w:eastAsia="方正仿宋简体" w:hint="eastAsia"/>
          <w:sz w:val="24"/>
          <w:szCs w:val="24"/>
        </w:rPr>
        <w:t>  在这一宏观背景下，债市受益于低通胀、融资需求偏弱、资金面总体偏宽、机构资产荒配置需求强，10年期国债收益率由年初的1.85%附近震荡下行至1.73%附近，中枢明显下移，仅在地缘冲突导致的通胀预期和央行操作节奏等影响下有所波动。权益市场则呈现出极致的一九分化行情，上证指数累计上涨3.16%，而创业板指、科创50分别上涨35.58%、64.25%，AI算力、半导体、光通信等科技成长板块显著领跑，传统消费、地产及部分价值板块相对承压，中证红利指数下跌8.75%，为2019年以来最差半年表现。</w:t>
        <w:br w:type="textWrapping" w:clear="all"/>
      </w:r>
      <w:r>
        <w:rPr>
          <w:rFonts w:ascii="方正仿宋简体" w:eastAsia="方正仿宋简体" w:hint="eastAsia"/>
          <w:sz w:val="24"/>
          <w:szCs w:val="24"/>
        </w:rPr>
        <w:t>  展望下半年，经济大概率呈“浅V型”弱修复，政策有增量但非强刺激，预计债券收益率整体仍将维持低位区间震荡，产品在把握中短久期品种票息和稳定净值的基础上，重点关注超长端和二永的交易性机会。权益市场维持中长期看好的观点，AI产业的景气度仍在，但估值持续扩张需要业绩验证，同时价值类标的已具有相当的胜率和赔率，对长期资金有足够的吸引力，产品将在均衡配置的基础上，坚持做动态再平衡。</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Z70015份额净值为1.052127元，Z70016份额净值为1.051249</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96.77%</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89.20%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10.79%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0.23%</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ZJQTT202508110003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华泰资产宁泰稳盈货币资产管理产品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201,366,590.70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长江养老金色短债存款固收型集合资产管理产品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201,091,608.45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200,331,203.94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156,726,919.49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138,912,704.79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09250412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25农发清发12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100,218,700.00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09250402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25农发清发02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100,076,100.00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IBD20260211300100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IBD20260203300043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83,673,186.11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0101000000001206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南京银行南京分行南银理财增瑞财富牛最低持有120天1号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26镇江城投MTN004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102681754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20001013.70</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江南农商行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45445.51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2881174.79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350.82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267305.87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